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785</w:t>
      </w:r>
    </w:p>
    <w:p>
      <w:r>
        <w:t>Bundesgericht (BGE), 2006-01-01, FR</w:t>
      </w:r>
    </w:p>
    <w:p>
      <w:r>
        <w:rPr>
          <w:b/>
        </w:rPr>
        <w:t xml:space="preserve">Quelle: </w:t>
      </w:r>
      <w:r>
        <w:t>https://mcp.opencaselaw.ch/entscheid/bge_132 III 785</w:t>
      </w:r>
    </w:p>
    <w:p>
      <w:r>
        <w:t>FR: ATF 132 III 785</w:t>
      </w:r>
    </w:p>
    <w:p>
      <w:r>
        <w:t>IT: DTF 132 III 785</w:t>
      </w:r>
    </w:p>
    <w:p>
      <w:pPr>
        <w:pStyle w:val="Heading2"/>
      </w:pPr>
      <w:r>
        <w:t>Regeste</w:t>
      </w:r>
    </w:p>
    <w:p>
      <w:r>
        <w:t>Regeste Art. 48 Abs. 1 und Art. 50 Abs. 1 OG; Zulässigkeit der Berufung gegen einen Entscheid über Vorfragen; Zwischen- und Teilentscheid. Endentscheid, Vor- oder Zwischenentscheid und Teilentscheid (Zusammenfassung der Rechtsprechung; E. 2). Ein Entscheid, der Vorfragen zum Gegenstand hat im Hinblick auf die Frage des zwischen den Parteien geschuldeten Geldbetrags, ist als Zwischenentscheid und nicht als Teilentscheid zu qualifizieren. Daran ändert nichts, dass die Parteien Rechtsbegehren betreffend die Vorfragen gestellt haben (E. 3). Voraussetzungen der Zulässigkeit der Berufung gegen einen Zwischenentscheid, der keine Frage der Zuständigkeit zum Gegenstand hat (E. 4).</w:t>
      </w:r>
    </w:p>
    <w:p>
      <w:pPr>
        <w:pStyle w:val="Heading2"/>
      </w:pPr>
      <w:r>
        <w:t>Erwägungen</w:t>
      </w:r>
    </w:p>
    <w:p>
      <w:r>
        <w:rPr>
          <w:b/>
        </w:rPr>
        <w:t>E. 2</w:t>
      </w:r>
    </w:p>
    <w:p>
      <w:r>
        <w:t>En règle générale, le recours en réforme au Tribunal fédéral n'est recevable que contre une décision finale ( art. 48 al. 1 OJ ); hormis le cas des décisions quant à la compétence ( art. 49 al. 1 OJ ), ce n'est qu'exceptionnellement qu'il est ouvert contre une décision préjudicielle ou incidente, prise séparément du fond ( art. 50 al. 1 OJ ). De même, sous certaines conditions, la jurisprudence admet la recevabilité du recours en réforme dirigé contre une décision partielle ( ATF 131 III 667 consid. 1.3; ATF 129 III 25 consid. 1.1; ATF 124 III 406 consid. 1a; ATF 117 II 349 consid. 2a). En procédure de réforme, la décision partielle n'est en effet pas considérée comme une décision finale ni d'ailleurs comme une décision préjudicielle ou incidente (cf. ATF 131 III 667 consid. 1.3 et les arrêts cités). Pour qu'une décision soit qualifiée de finale au sens de l' art. 48 al. 1 OJ , il faut, d'une part, qu'elle mette un terme à la procédure entre les parties ( ATF 123 III 140 consid. 2a; cf. BERNARD CORBOZ, Le recours en réforme au Tribunal fédéral, SJ 2000 II p. 1 ss, 6) et, d'autre part, que l'autorité cantonale ait statué sur le fond de la prétention ou s'y soit refusée pour un motif qui empêche définitivement que la même prétention soit exercée à nouveau entre les mêmes parties ( ATF 131 III 667 consid. 1.1; ATF 127 III 433 consid. 1b/aa, ATF 127 III 474 consid. 1a et les arrêts cités). Une décision est préjudicielle ou incidente au sens de l' art. 50 al. 1 OJ lorsque, sans mettre fin au procès, la juridiction cantonale tranche définitivement le sort d'une condition de fond ou de procédure préliminaire à la décision finale, que ce soit expressément dans le dispositif ou en renvoyant la cause à l'instance précédente pour nouvelle décision dans le sens des considérants ( ATF 127 III 433 consid. 1b/bb; ATF 105 II 218 consid. 1a; JEAN-FRANÇOIS POUDRET, Commentaire de la loi fédérale d'organisation judiciaire, vol. II, n. 2.1.1 in fine ad art. 50 OJ , p. 344 s.). Une décision partielle est celle qui statue, de manière finale, sur un ou plusieurs chefs d'une demande, mais renvoie l'examen d'un ou plusieurs autres à une décision ultérieure ( ATF 124 III 406 consid. 1a). Selon une autre définition, la décision partielle proprement dite est BGE 132 III 785 S. 790 celle qui statue sur une partie quantitativement limitée de la prétention litigieuse ou sur l'une des prétentions en cause - en cas de cumul objectif ou subjectif d'actions ou lorsqu'une demande reconventionnelle a été formée (arrêt 4C.314/2003 du 9 mars 2004, consid. 2.2; cf. également arrêt 4C.122/2001 du 15 mai 2001, consid. 2a).</w:t>
      </w:r>
    </w:p>
    <w:p>
      <w:r>
        <w:rPr>
          <w:b/>
        </w:rPr>
        <w:t>E. 3.1</w:t>
      </w:r>
    </w:p>
    <w:p>
      <w:r>
        <w:t>Dans sa demande déposée en première instance, le demandeur a pris, sans structure apparente, un certain nombre de conclusions, tant en constatation positive et négative de droit qu'en paiement et en libération. La défenderesse, quant à elle, a formulé des conclusions reconventionnelles en exécution. Les parties ont en cours de procédure conclu une convention limitant l'objet du litige à quatre chefs de conclusions en constatation de droit, sur lesquels le Tribunal de première instance, puis l'autorité de recours, se sont successivement prononcés. Les magistrats ont donc statué sur une partie seulement des chefs de conclusions du demandeur, tout en réservant la suite de la procédure s'agissant des autres conclusions.</w:t>
      </w:r>
    </w:p>
    <w:p>
      <w:r>
        <w:rPr>
          <w:b/>
        </w:rPr>
        <w:t>E. 3.2</w:t>
      </w:r>
    </w:p>
    <w:p>
      <w:r>
        <w:t>Afin de pouvoir se prononcer sur la recevabilité du présent recours, il convient tout d'abord de qualifier le jugement entrepris. L'arrêt attaqué ne peut constituer une décision finale, dès lors qu'il ne met pas fin à la procédure. Il y a lieu par conséquent de déterminer s'il s'agit d'une décision incidente ou d'une décision partielle, au sens défini ci-dessus. En l'état, les conclusions prises par le demandeur et, à titre reconventionnel, par la défenderesse, tendent à déterminer quelle est la somme due entre les parties. L'objet du litige consiste donc à établir quelle est cette somme. Les conclusions que les juridictions cantonales ont tranchées ne sont que des questions préliminaires aux conclusions en paiement et en libération des parties. Le premier point soumis aux juges cantonaux se rapporte à la résiliation par la défenderesse de la convention de cession du 15 décembre 1999. Sous certaines conditions, la défenderesse est à même de se départir des obligations conventionnelles lui incombant. Parmi ces obligations figure celle de ne pas poursuivre le demandeur en paiement des créances reconnues par celui-ci. Ainsi, la question relative à la résiliation de la convention est préliminaire à la prétention en paiement de la défenderesse et, accessoirement, à la levée des oppositions faites par le demandeur aux commandements de payer à lui notifiés. Le même constat s'impose en ce qui concerne les BGE 132 III 785 S. 791 conclusions tendant à établir le moment de la prise en compte des versements effectués, leur affectation, ainsi que l'éventuelle cession de D. SA du patrimoine du demandeur vers celui d'une société tierce. Il s'agit en effet d'éléments préalables qui permettront ultérieurement de trancher les prétentions pécuniaires des parties. L'arrêt entrepris statue certes sur une partie seulement des questions litigieuses. Il ne faut toutefois pas perdre de vue que les conclusions soumises aux juges cantonaux ne constituent qu'une étape sur la voie de la détermination de la somme due entre les parties. En d'autres termes, elles n'ont pas de portée autonome, mais participent de la motivation de la décision sur les conclusions en paiement et en libération. Par conséquent, la décision attaquée doit être qualifiée d'incidente, et non pas de partielle. Le fait que les parties aient choisi de formuler des conclusions sur des questions préliminaires - qui n'avaient pas à revêtir la forme de chefs de conclusions ( ATF 90 II 34 consid. 6a; FABIENNE HOHL, Procédure civile, t. I, Berne 2001, n. 209 ad § 6, p. 59; FRANK/STRÄULI/MESSMER, Kommentar zur zürcherischen Zivilprozessordung, 3 e éd., Zurich 1997, n. 13 ad § 100 CPC / ZH, p. 362; cf. ég. ATF 103 II 155 consid. 2) - ne saurait avoir pour conséquence de modifier la nature incidente de la décision judiciaire tranchant ces questions. Le raisonnement du demandeur, qui fonde la recevabilité du recours en réforme sur la prémisse que la décision attaquée est une décision partielle, est erroné.</w:t>
      </w:r>
    </w:p>
    <w:p>
      <w:r>
        <w:rPr>
          <w:b/>
        </w:rPr>
        <w:t>E. 4.1</w:t>
      </w:r>
    </w:p>
    <w:p>
      <w:r>
        <w:t>Comme la décision attaquée est de nature incidente et ne se rapporte pas à une question de compétence ( art. 49 al. 1 OJ ), le recours en réforme n'est recevable qu'aux conditions posées par l' art. 50 al. 1 OJ . Il ressort de cette disposition que le recours en réforme interjeté directement contre une décision incidente sans attendre la décision finale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Les deux conditions sont cumulatives ( ATF 123 III 414 consid. 3b). La première d'entre elles est réalisée si le Tribunal fédéral peut mettre fin une fois pour toutes à la procédure en jugeant différemment la question tranchée dans la décision BGE 132 III 785 S. 792 préjudicielle ou incidente ( ATF 129 III 288 consid. 2.3.3; ATF 127 III 433 consid. 1c/aa; ATF 122 III 254 consid. 2a).</w:t>
      </w:r>
    </w:p>
    <w:p>
      <w:r>
        <w:rPr>
          <w:b/>
        </w:rPr>
        <w:t>E. 4.2</w:t>
      </w:r>
    </w:p>
    <w:p>
      <w:r>
        <w:t>Cette condition n'est manifestement pas remplie en l'espèce. Quelle que soit l'issue du recours en réforme, on ne peut pas dire maintenant quelle est la somme due entre les parties; il est donc impossible de mettre fin à la procédure. La première condition de recevabilité du recours n'étant pas réalisée, il n'est pas nécessaire d'examiner la seconde condition. Le recours sur la base de l' art. 50 al. 1 OJ est exclu. Par conséquence, le recours en réforme interjeté par le demandeur contre la décision incidente du 7 avril 2006 est irrecevable. Seite 317 Zeile 21 von unten: BGE 132 III 305 (statt 5C.121/2005) Seite 320 Zeile 9 von unten: BGE 132 III 305 (statt 5C.121/2005) Seite 579 Zeile 20 von unten: le cas d'une action (statt le cas) Seite 579 Zeile 17 und 18 von unten: en invoquant un droit prioritaire, pour le motif que le signe est usurpé (statt en raison d'un droit prioritaire justifié par l'utilisation sans droit du signe)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